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 w:line="600" w:lineRule="exact"/>
        <w:ind/>
        <w:rPr>
          <w:rFonts w:ascii="Times New Roman" w:hAnsi="Times New Roman" w:eastAsia="方正黑体简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00000" w:themeColor="text1"/>
          <w:sz w:val="32"/>
          <w:szCs w:val="32"/>
        </w:rPr>
        <w:t xml:space="preserve">附件1：</w:t>
      </w:r>
      <w:r>
        <w:rPr>
          <w:rFonts w:ascii="Times New Roman" w:hAnsi="Times New Roman" w:eastAsia="方正黑体简体" w:cs="Times New Roman"/>
          <w:color w:val="000000" w:themeColor="text1"/>
          <w:sz w:val="32"/>
          <w:szCs w:val="32"/>
        </w:rPr>
      </w:r>
    </w:p>
    <w:p>
      <w:pPr>
        <w:pBdr/>
        <w:spacing w:line="600" w:lineRule="exact"/>
        <w:ind/>
        <w:jc w:val="center"/>
        <w:rPr>
          <w:rFonts w:ascii="Times New Roman" w:hAnsi="Times New Roman" w:eastAsia="方正小标宋简体" w:cs="Times New Roman"/>
          <w:b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sz w:val="32"/>
          <w:szCs w:val="32"/>
        </w:rPr>
        <w:t xml:space="preserve">九</w:t>
      </w:r>
      <w:r>
        <w:rPr>
          <w:rFonts w:ascii="Times New Roman" w:hAnsi="Times New Roman" w:eastAsia="方正小标宋简体" w:cs="Times New Roman"/>
          <w:b/>
          <w:color w:val="000000" w:themeColor="text1"/>
          <w:sz w:val="32"/>
          <w:szCs w:val="32"/>
        </w:rPr>
        <w:t xml:space="preserve">禾股份有限公司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sz w:val="32"/>
          <w:szCs w:val="32"/>
        </w:rPr>
        <w:t xml:space="preserve">社会公开</w:t>
      </w:r>
      <w:r>
        <w:rPr>
          <w:rFonts w:ascii="Times New Roman" w:hAnsi="Times New Roman" w:eastAsia="方正小标宋简体" w:cs="Times New Roman"/>
          <w:b/>
          <w:color w:val="000000" w:themeColor="text1"/>
          <w:sz w:val="32"/>
          <w:szCs w:val="32"/>
        </w:rPr>
        <w:t xml:space="preserve">招聘岗位需求表</w:t>
      </w:r>
      <w:r>
        <w:rPr>
          <w:rFonts w:ascii="Times New Roman" w:hAnsi="Times New Roman" w:eastAsia="方正小标宋简体" w:cs="Times New Roman"/>
          <w:b/>
          <w:color w:val="000000" w:themeColor="text1"/>
          <w:sz w:val="32"/>
          <w:szCs w:val="32"/>
        </w:rPr>
      </w:r>
    </w:p>
    <w:tbl>
      <w:tblPr>
        <w:tblStyle w:val="649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73"/>
        <w:gridCol w:w="5469"/>
        <w:gridCol w:w="1829"/>
      </w:tblGrid>
      <w:tr>
        <w:trPr>
          <w:jc w:val="center"/>
          <w:trHeight w:val="922"/>
        </w:trPr>
        <w:tc>
          <w:tcPr>
            <w:tcBorders/>
            <w:tcW w:w="1573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ascii="Times New Roman" w:hAnsi="Times New Roman" w:eastAsia="方正黑体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简体" w:cs="Times New Roman"/>
                <w:sz w:val="30"/>
                <w:szCs w:val="30"/>
              </w:rPr>
              <w:t xml:space="preserve">岗位及</w:t>
            </w:r>
            <w:r>
              <w:rPr>
                <w:rFonts w:ascii="Times New Roman" w:hAnsi="Times New Roman" w:eastAsia="方正黑体简体" w:cs="Times New Roman"/>
                <w:sz w:val="30"/>
                <w:szCs w:val="30"/>
              </w:rPr>
            </w:r>
          </w:p>
          <w:p>
            <w:pPr>
              <w:pBdr/>
              <w:spacing w:line="400" w:lineRule="exact"/>
              <w:ind/>
              <w:jc w:val="center"/>
              <w:rPr>
                <w:rFonts w:ascii="Times New Roman" w:hAnsi="Times New Roman" w:eastAsia="方正黑体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简体" w:cs="Times New Roman"/>
                <w:sz w:val="30"/>
                <w:szCs w:val="30"/>
              </w:rPr>
              <w:t xml:space="preserve">人数</w:t>
            </w:r>
            <w:r>
              <w:rPr>
                <w:rFonts w:ascii="Times New Roman" w:hAnsi="Times New Roman" w:eastAsia="方正黑体简体" w:cs="Times New Roman"/>
                <w:sz w:val="30"/>
                <w:szCs w:val="30"/>
              </w:rPr>
            </w:r>
          </w:p>
        </w:tc>
        <w:tc>
          <w:tcPr>
            <w:tcBorders/>
            <w:tcW w:w="5469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 w:firstLine="422"/>
              <w:jc w:val="center"/>
              <w:rPr>
                <w:rFonts w:ascii="Times New Roman" w:hAnsi="Times New Roman" w:eastAsia="方正黑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简体" w:cs="Times New Roman"/>
                <w:sz w:val="30"/>
                <w:szCs w:val="30"/>
              </w:rPr>
              <w:t xml:space="preserve">要求及岗位职责</w:t>
            </w:r>
            <w:r>
              <w:rPr>
                <w:rFonts w:ascii="Times New Roman" w:hAnsi="Times New Roman" w:eastAsia="方正黑体简体" w:cs="Times New Roman"/>
                <w:sz w:val="30"/>
                <w:szCs w:val="30"/>
              </w:rPr>
            </w:r>
          </w:p>
        </w:tc>
        <w:tc>
          <w:tcPr>
            <w:tcBorders/>
            <w:tcW w:w="1829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 w:firstLine="422"/>
              <w:rPr>
                <w:rFonts w:ascii="Times New Roman" w:hAnsi="Times New Roman" w:eastAsia="方正黑体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简体" w:cs="Times New Roman"/>
                <w:sz w:val="30"/>
                <w:szCs w:val="30"/>
              </w:rPr>
              <w:t xml:space="preserve">薪酬</w:t>
            </w:r>
            <w:r>
              <w:rPr>
                <w:rFonts w:ascii="Times New Roman" w:hAnsi="Times New Roman" w:eastAsia="方正黑体简体" w:cs="Times New Roman"/>
                <w:sz w:val="30"/>
                <w:szCs w:val="30"/>
              </w:rPr>
            </w:r>
          </w:p>
        </w:tc>
      </w:tr>
      <w:tr>
        <w:trPr>
          <w:jc w:val="center"/>
          <w:trHeight w:val="2678"/>
        </w:trPr>
        <w:tc>
          <w:tcPr>
            <w:tcBorders/>
            <w:tcW w:w="157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40" w:lineRule="exact"/>
              <w:ind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区域销售经理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40" w:lineRule="exact"/>
              <w:ind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（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10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人）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</w:r>
          </w:p>
        </w:tc>
        <w:tc>
          <w:tcPr>
            <w:tcBorders/>
            <w:tcW w:w="54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1.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本科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及以上学历，35岁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及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以下，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 xml:space="preserve">农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学、植保、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 xml:space="preserve">市场营销类专业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优先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2.负责公司所在区域市场的产品销售、渠道开发和服务等，完成销售任务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3.负责收集、分析、反馈各种市场信息，制订所负责区域的销售策略、具体销售计划，并进行销售预测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4.对代理商货物流向很熟悉并掌握，有前瞻性地回款补货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5.沟通表达能力强，驾驶技术娴熟，熟练运用办公软件，能适应长期出差及外派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。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6.热爱营销工作，能适应长期出差及外派的本科及以上学历应届毕业生均可报名应聘。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7.条件优异者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年龄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、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学历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可适当放宽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。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工作地：根据需求全国分配</w:t>
            </w:r>
            <w:r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r>
          </w:p>
        </w:tc>
        <w:tc>
          <w:tcPr>
            <w:tcBorders/>
            <w:tcW w:w="182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薪酬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：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7-20万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；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福利：六险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二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金、节日福利、生日福利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、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出差补贴、定期体检、培训提升等。</w:t>
            </w:r>
            <w:r>
              <w:rPr>
                <w:rFonts w:ascii="Times New Roman" w:hAnsi="Times New Roman" w:cs="Times New Roman"/>
                <w:szCs w:val="21"/>
              </w:rPr>
            </w:r>
          </w:p>
        </w:tc>
      </w:tr>
      <w:tr>
        <w:trPr>
          <w:jc w:val="center"/>
          <w:trHeight w:val="291"/>
        </w:trPr>
        <w:tc>
          <w:tcPr>
            <w:tcBorders/>
            <w:tcW w:w="157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40" w:lineRule="exact"/>
              <w:ind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生产管理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40" w:lineRule="exact"/>
              <w:ind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（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5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人）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</w:r>
          </w:p>
        </w:tc>
        <w:tc>
          <w:tcPr>
            <w:tcBorders/>
            <w:tcW w:w="54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numPr>
                <w:ilvl w:val="0"/>
                <w:numId w:val="0"/>
              </w:numPr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1.大专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及以上学历，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40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岁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及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以下，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化学工程与工艺、应用化学、机械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类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、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电仪类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专业优先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，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有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化工或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复合肥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企业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生产管理经验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优先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2.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负责复合肥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生产工艺技术、设备技术、电气技术、仪表技术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相关工作，熟练操作办公软件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。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3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.具有良好的职业素养、踏实稳重、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出色的管理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能力，沟通协调、团队协作、计划与执行能力，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工作认真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负责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能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适应外派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4.有志从事复合肥生产管理工作，本科及以上学历，化学工程与工艺、应用化学、机械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类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、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电仪类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专业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应届毕业生均可报名应聘。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工作地：公司全国各生产基地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</w:r>
          </w:p>
        </w:tc>
        <w:tc>
          <w:tcPr>
            <w:tcBorders/>
            <w:tcW w:w="182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薪酬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：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7-10万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；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福利：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社保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、节日福利、生日福利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、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出差补贴、定期体检等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。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</w:r>
          </w:p>
        </w:tc>
      </w:tr>
      <w:tr>
        <w:trPr>
          <w:jc w:val="center"/>
          <w:trHeight w:val="291"/>
        </w:trPr>
        <w:tc>
          <w:tcPr>
            <w:tcBorders/>
            <w:tcW w:w="157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40" w:lineRule="exact"/>
              <w:ind/>
              <w:jc w:val="center"/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审计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40" w:lineRule="exact"/>
              <w:ind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（1人）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r>
          </w:p>
        </w:tc>
        <w:tc>
          <w:tcPr>
            <w:tcBorders/>
            <w:tcW w:w="54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numPr>
                <w:ilvl w:val="0"/>
                <w:numId w:val="0"/>
              </w:numPr>
              <w:pBdr/>
              <w:shd w:val="clear" w:color="auto" w:fill="ffffff"/>
              <w:spacing w:line="250" w:lineRule="exact"/>
              <w:ind/>
              <w:jc w:val="left"/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  <w:t xml:space="preserve">1.本科及以上学历，审计、财务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、经济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  <w:t xml:space="preserve">类专业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，或三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  <w:t xml:space="preserve">年以上审计工作经验，中共党员优先考虑。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  <w:br/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2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  <w:t xml:space="preserve">.熟练掌握审计及办公软件，具备扎实专业</w:t>
            </w:r>
            <w:bookmarkStart w:id="0" w:name="_GoBack"/>
            <w:r/>
            <w:bookmarkEnd w:id="0"/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  <w:t xml:space="preserve">能力、良好沟通协调能力，抗压能力。有责任心，严谨的工作态度和良好的职业道德，能适应长期出差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。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numPr>
                <w:ilvl w:val="0"/>
                <w:numId w:val="0"/>
              </w:numPr>
              <w:pBdr/>
              <w:shd w:val="clear" w:color="auto" w:fill="ffffff"/>
              <w:spacing w:line="250" w:lineRule="exact"/>
              <w:ind/>
              <w:jc w:val="left"/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3.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  <w:t xml:space="preserve">独立开展内部审计工作，包括不限于财务审计、管理审计、合规审计等，确保审计流程规范、结果准确。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  <w:br/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4.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  <w:t xml:space="preserve">参与各类专项审计及经济责任审计项目，负责编制审计方案，精准实施审计程序，撰写审计报告，清晰呈现审计发现与建议。 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  <w:br/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5.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  <w:t xml:space="preserve">协助制定与完善公司管理制度、流程及相关标准，提升公司内部审计工作的专业性与系统性。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numPr>
                <w:ilvl w:val="0"/>
                <w:numId w:val="0"/>
              </w:numPr>
              <w:pBdr/>
              <w:shd w:val="clear" w:color="auto" w:fill="ffffff"/>
              <w:spacing w:line="250" w:lineRule="exact"/>
              <w:ind/>
              <w:jc w:val="left"/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6.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  <w:t xml:space="preserve">全面评审公司内部控制制度的健全性、有效性及风险管理状况，检查各下属分、子公司内控制度执行情况，客观评价其有效性、合理性及经济性，为公司管理优化提供审计意见和建议。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numPr>
                <w:ilvl w:val="0"/>
                <w:numId w:val="0"/>
              </w:numPr>
              <w:pBdr/>
              <w:shd w:val="clear" w:color="auto" w:fill="ffffff"/>
              <w:spacing w:line="250" w:lineRule="exact"/>
              <w:ind/>
              <w:jc w:val="left"/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7.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  <w:t xml:space="preserve">负责核查、出来客户扰乱市场秩序等相关行为，维护公司正常运营秩序 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  <w:br/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8.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  <w:t xml:space="preserve">完成领导安排的其他工作。 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50" w:lineRule="exact"/>
              <w:ind/>
              <w:jc w:val="left"/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工作地：根据需求全国分配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</w:r>
          </w:p>
        </w:tc>
        <w:tc>
          <w:tcPr>
            <w:tcBorders/>
            <w:tcW w:w="182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薪酬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：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按薪酬管理办法执行；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福利：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社保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、节日福利、生日福利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、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出差补贴、定期体检等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r>
          </w:p>
        </w:tc>
      </w:tr>
      <w:tr>
        <w:trPr>
          <w:jc w:val="center"/>
          <w:trHeight w:val="291"/>
        </w:trPr>
        <w:tc>
          <w:tcPr>
            <w:tcBorders/>
            <w:tcW w:w="157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40" w:lineRule="exact"/>
              <w:ind/>
              <w:jc w:val="center"/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检验员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40" w:lineRule="exact"/>
              <w:ind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（1人）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r>
          </w:p>
        </w:tc>
        <w:tc>
          <w:tcPr>
            <w:tcBorders/>
            <w:tcW w:w="54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1.大专及以上学历，40岁及以下，化工、化学类相关专业优先，有化工分析相关工作经验优先考虑。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2.身体健康，具体较强的沟通能力和动手能力。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3.负责按照国家标准对原辅材料及产品进行取样分析，按照要求做好分析操作原始记录及分析报告。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4.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负责分析用标准试剂的配制工作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，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做好实验仪器的维护保养工作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。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5.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完成领导交办的其他工作任务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。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工作地：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重庆江津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r>
          </w:p>
        </w:tc>
        <w:tc>
          <w:tcPr>
            <w:tcBorders/>
            <w:tcW w:w="182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薪酬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：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按薪酬管理办法执行；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福利：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社保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、节日福利、生日福利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、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出差补贴、定期体检等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r>
          </w:p>
        </w:tc>
      </w:tr>
      <w:tr>
        <w:trPr>
          <w:jc w:val="center"/>
          <w:trHeight w:val="1964"/>
        </w:trPr>
        <w:tc>
          <w:tcPr>
            <w:tcBorders/>
            <w:tcW w:w="157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40" w:lineRule="exact"/>
              <w:ind/>
              <w:jc w:val="center"/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生产技工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40" w:lineRule="exact"/>
              <w:ind/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（5人）</w:t>
            </w:r>
            <w:r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r>
          </w:p>
        </w:tc>
        <w:tc>
          <w:tcPr>
            <w:tcBorders/>
            <w:tcW w:w="54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1.</w:t>
            </w:r>
            <w:r>
              <w:rPr>
                <w:rFonts w:hint="eastAsia"/>
                <w:lang w:val="en-US" w:eastAsia="zh-CN"/>
              </w:rPr>
              <w:t xml:space="preserve">高中或中专</w:t>
            </w:r>
            <w:r>
              <w:rPr>
                <w:rFonts w:hint="eastAsia"/>
              </w:rPr>
              <w:t xml:space="preserve">及以上学历，</w:t>
            </w:r>
            <w:r>
              <w:rPr>
                <w:rFonts w:hint="eastAsia"/>
                <w:lang w:val="en-US" w:eastAsia="zh-CN"/>
              </w:rPr>
              <w:t xml:space="preserve">45</w:t>
            </w:r>
            <w:r>
              <w:rPr>
                <w:rFonts w:hint="eastAsia"/>
              </w:rPr>
              <w:t xml:space="preserve">岁</w:t>
            </w:r>
            <w:r>
              <w:rPr>
                <w:rFonts w:hint="eastAsia"/>
                <w:lang w:val="en-US" w:eastAsia="zh-CN"/>
              </w:rPr>
              <w:t xml:space="preserve">及</w:t>
            </w:r>
            <w:r>
              <w:rPr>
                <w:rFonts w:hint="eastAsia"/>
              </w:rPr>
              <w:t xml:space="preserve">以下，叉车工需持叉车上岗证</w:t>
            </w:r>
            <w:r>
              <w:rPr>
                <w:rFonts w:hint="eastAsia"/>
                <w:lang w:eastAsia="zh-CN"/>
              </w:rPr>
              <w:t xml:space="preserve">。</w:t>
            </w:r>
            <w:r>
              <w:rPr>
                <w:rFonts w:hint="eastAsia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</w:t>
            </w:r>
            <w:r>
              <w:rPr>
                <w:rFonts w:hint="eastAsia"/>
              </w:rPr>
              <w:t xml:space="preserve">.</w:t>
            </w:r>
            <w:r>
              <w:rPr>
                <w:rFonts w:hint="eastAsia"/>
                <w:lang w:val="en-US" w:eastAsia="zh-CN"/>
              </w:rPr>
              <w:t xml:space="preserve">负责车间</w:t>
            </w:r>
            <w:r>
              <w:rPr>
                <w:rFonts w:hint="eastAsia"/>
              </w:rPr>
              <w:t xml:space="preserve">装置</w:t>
            </w:r>
            <w:r>
              <w:rPr>
                <w:rFonts w:hint="eastAsia"/>
                <w:lang w:val="en-US" w:eastAsia="zh-CN"/>
              </w:rPr>
              <w:t xml:space="preserve">设备日常检修、维护保养工作。</w:t>
            </w:r>
            <w:r>
              <w:rPr>
                <w:rFonts w:hint="eastAsia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3.负责车间电气设备、仪表控制、高低压配电等系统的安全稳定运行和日常维护。</w:t>
            </w:r>
            <w:r>
              <w:rPr>
                <w:rFonts w:hint="eastAsia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4.</w:t>
            </w:r>
            <w:r>
              <w:rPr>
                <w:rFonts w:hint="eastAsia"/>
              </w:rPr>
              <w:t xml:space="preserve">负责车间备品备件制作及叉车作业</w:t>
            </w:r>
            <w:r>
              <w:rPr>
                <w:rFonts w:hint="eastAsia"/>
                <w:lang w:eastAsia="zh-CN"/>
              </w:rPr>
              <w:t xml:space="preserve">，</w:t>
            </w:r>
            <w:r>
              <w:rPr>
                <w:rFonts w:hint="eastAsia"/>
                <w:lang w:val="en-US" w:eastAsia="zh-CN"/>
              </w:rPr>
              <w:t xml:space="preserve">参与完成车间大修、技改技革工作。</w:t>
            </w:r>
            <w:r>
              <w:rPr>
                <w:rFonts w:hint="eastAsia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/>
            </w:pPr>
            <w:r>
              <w:rPr>
                <w:rFonts w:hint="eastAsia"/>
                <w:lang w:val="en-US" w:eastAsia="zh-CN"/>
              </w:rPr>
              <w:t xml:space="preserve">5.</w:t>
            </w:r>
            <w:r>
              <w:rPr>
                <w:rFonts w:hint="eastAsia"/>
              </w:rPr>
              <w:t xml:space="preserve">身体健康，责任心强、能吃苦耐劳，工作积极主动，服从领导的工作安排，</w:t>
            </w:r>
            <w:r>
              <w:rPr>
                <w:rFonts w:hint="eastAsia"/>
                <w:lang w:val="en-US" w:eastAsia="zh-CN"/>
              </w:rPr>
              <w:t xml:space="preserve">熟悉安全操作规程，</w:t>
            </w:r>
            <w:r>
              <w:rPr>
                <w:rFonts w:hint="eastAsia"/>
              </w:rPr>
              <w:t xml:space="preserve">严格按要求作业，能适应倒班工作。</w:t>
            </w:r>
            <w:r/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工作地：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公司全国各生产基地</w:t>
            </w:r>
            <w:r>
              <w:rPr>
                <w:rFonts w:hint="eastAsia"/>
                <w:lang w:val="en-US" w:eastAsia="zh-CN"/>
              </w:rPr>
            </w:r>
          </w:p>
        </w:tc>
        <w:tc>
          <w:tcPr>
            <w:tcBorders/>
            <w:tcW w:w="182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薪酬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：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按薪酬管理办法执行；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福利：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社保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、节日福利、生日福利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、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出差补贴、定期体检等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r>
          </w:p>
        </w:tc>
      </w:tr>
      <w:tr>
        <w:trPr>
          <w:jc w:val="center"/>
          <w:trHeight w:val="1586"/>
        </w:trPr>
        <w:tc>
          <w:tcPr>
            <w:tcBorders/>
            <w:tcW w:w="157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40" w:lineRule="exact"/>
              <w:ind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生产操作人员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40" w:lineRule="exact"/>
              <w:ind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（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10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人）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</w:r>
          </w:p>
        </w:tc>
        <w:tc>
          <w:tcPr>
            <w:tcBorders/>
            <w:tcW w:w="54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1.50岁以下，负责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各基地复合肥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产品生产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2.身体健康，无不良嗜好，能吃苦耐劳，工作认真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踏实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，服从领导的工作安排，有较强的工作责任心，能适应倒班工作。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工作地：公司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全国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各生产基地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</w:r>
          </w:p>
        </w:tc>
        <w:tc>
          <w:tcPr>
            <w:tcBorders/>
            <w:tcW w:w="182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薪酬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：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按薪酬管理办法执行；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hd w:val="clear" w:color="auto" w:fill="ffffff"/>
              <w:spacing w:line="260" w:lineRule="exact"/>
              <w:ind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福利：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 xml:space="preserve">社保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、节日福利、生日福利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、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出差补贴、定期体检等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 xml:space="preserve">。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</w:r>
          </w:p>
        </w:tc>
      </w:tr>
    </w:tbl>
    <w:p>
      <w:pPr>
        <w:pBdr/>
        <w:spacing w:line="600" w:lineRule="exact"/>
        <w:ind/>
        <w:rPr>
          <w:rFonts w:ascii="Times New Roman" w:hAnsi="Times New Roman" w:eastAsia="方正黑体简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00000" w:themeColor="text1"/>
          <w:sz w:val="32"/>
          <w:szCs w:val="32"/>
        </w:rPr>
      </w:r>
      <w:r>
        <w:rPr>
          <w:rFonts w:ascii="Times New Roman" w:hAnsi="Times New Roman" w:eastAsia="方正黑体简体" w:cs="Times New Roman"/>
          <w:color w:val="000000" w:themeColor="text1"/>
          <w:sz w:val="32"/>
          <w:szCs w:val="32"/>
        </w:rPr>
      </w:r>
    </w:p>
    <w:sectPr>
      <w:footerReference w:type="default" r:id="rId8"/>
      <w:footnotePr/>
      <w:endnotePr/>
      <w:type w:val="nextPage"/>
      <w:pgSz w:h="16838" w:orient="landscape" w:w="11906"/>
      <w:pgMar w:top="1559" w:right="1503" w:bottom="1474" w:left="1559" w:header="851" w:footer="992" w:gutter="0"/>
      <w:pgNumType w:start="0"/>
      <w:cols w:num="1" w:sep="0" w:space="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简体">
    <w:panose1 w:val="020B0604020202020204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方正黑体简体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81383440"/>
      <w:rPr/>
    </w:sdtPr>
    <w:sdtContent>
      <w:p>
        <w:pPr>
          <w:pStyle w:val="646"/>
          <w:pBdr/>
          <w:spacing/>
          <w:ind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 xml:space="preserve"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—</w:t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0"/>
    <w:next w:val="640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4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40"/>
    <w:next w:val="640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4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40"/>
    <w:next w:val="64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4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40"/>
    <w:next w:val="640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4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40"/>
    <w:next w:val="640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4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40"/>
    <w:next w:val="64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4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40"/>
    <w:next w:val="64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4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40"/>
    <w:next w:val="64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4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40"/>
    <w:next w:val="64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4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4">
    <w:name w:val="Title"/>
    <w:basedOn w:val="640"/>
    <w:next w:val="64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4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40"/>
    <w:next w:val="64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4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40"/>
    <w:next w:val="64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40"/>
    <w:next w:val="64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41"/>
    <w:link w:val="647"/>
    <w:uiPriority w:val="99"/>
    <w:pPr>
      <w:pBdr/>
      <w:spacing/>
      <w:ind/>
    </w:pPr>
  </w:style>
  <w:style w:type="character" w:styleId="45">
    <w:name w:val="Footer Char"/>
    <w:basedOn w:val="641"/>
    <w:link w:val="646"/>
    <w:uiPriority w:val="99"/>
    <w:pPr>
      <w:pBdr/>
      <w:spacing/>
      <w:ind/>
    </w:pPr>
  </w:style>
  <w:style w:type="paragraph" w:styleId="46">
    <w:name w:val="Caption"/>
    <w:basedOn w:val="640"/>
    <w:next w:val="64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46"/>
    <w:uiPriority w:val="99"/>
    <w:pPr>
      <w:pBdr/>
      <w:spacing/>
      <w:ind/>
    </w:pPr>
  </w:style>
  <w:style w:type="table" w:styleId="49">
    <w:name w:val="Table Grid Light"/>
    <w:basedOn w:val="6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4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4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4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41"/>
    <w:uiPriority w:val="99"/>
    <w:semiHidden/>
    <w:unhideWhenUsed/>
    <w:pPr>
      <w:pBdr/>
      <w:spacing/>
      <w:ind/>
    </w:pPr>
    <w:rPr>
      <w:vertAlign w:val="superscript"/>
    </w:rPr>
  </w:style>
  <w:style w:type="paragraph" w:styleId="182">
    <w:name w:val="toc 2"/>
    <w:basedOn w:val="640"/>
    <w:next w:val="64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40"/>
    <w:next w:val="64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40"/>
    <w:next w:val="64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40"/>
    <w:next w:val="64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40"/>
    <w:next w:val="64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40"/>
    <w:next w:val="64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40"/>
    <w:next w:val="64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40"/>
    <w:next w:val="640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40"/>
    <w:next w:val="640"/>
    <w:uiPriority w:val="99"/>
    <w:unhideWhenUsed/>
    <w:pPr>
      <w:pBdr/>
      <w:spacing w:after="0" w:afterAutospacing="0"/>
      <w:ind/>
    </w:pPr>
  </w:style>
  <w:style w:type="paragraph" w:styleId="640" w:default="1">
    <w:name w:val="Normal"/>
    <w:next w:val="643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styleId="641" w:default="1">
    <w:name w:val="Default Paragraph Font"/>
    <w:uiPriority w:val="1"/>
    <w:semiHidden/>
    <w:unhideWhenUsed/>
    <w:qFormat/>
    <w:pPr>
      <w:pBdr/>
      <w:spacing/>
      <w:ind/>
    </w:pPr>
  </w:style>
  <w:style w:type="table" w:styleId="642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43">
    <w:name w:val="toc 1"/>
    <w:basedOn w:val="640"/>
    <w:next w:val="640"/>
    <w:uiPriority w:val="0"/>
    <w:qFormat/>
    <w:pPr>
      <w:pBdr/>
      <w:spacing/>
      <w:ind/>
    </w:pPr>
  </w:style>
  <w:style w:type="paragraph" w:styleId="644">
    <w:name w:val="Date"/>
    <w:basedOn w:val="640"/>
    <w:next w:val="640"/>
    <w:link w:val="652"/>
    <w:uiPriority w:val="0"/>
    <w:qFormat/>
    <w:pPr>
      <w:pBdr/>
      <w:spacing/>
      <w:ind w:left="100"/>
    </w:pPr>
  </w:style>
  <w:style w:type="paragraph" w:styleId="645">
    <w:name w:val="Balloon Text"/>
    <w:basedOn w:val="640"/>
    <w:link w:val="653"/>
    <w:uiPriority w:val="0"/>
    <w:qFormat/>
    <w:pPr>
      <w:pBdr/>
      <w:spacing/>
      <w:ind/>
    </w:pPr>
    <w:rPr>
      <w:sz w:val="18"/>
      <w:szCs w:val="18"/>
    </w:rPr>
  </w:style>
  <w:style w:type="paragraph" w:styleId="646">
    <w:name w:val="Footer"/>
    <w:basedOn w:val="640"/>
    <w:link w:val="656"/>
    <w:uiPriority w:val="99"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</w:rPr>
  </w:style>
  <w:style w:type="paragraph" w:styleId="647">
    <w:name w:val="Header"/>
    <w:basedOn w:val="640"/>
    <w:uiPriority w:val="0"/>
    <w:qFormat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/>
      <w:ind/>
    </w:pPr>
    <w:rPr>
      <w:sz w:val="18"/>
    </w:rPr>
  </w:style>
  <w:style w:type="paragraph" w:styleId="648">
    <w:name w:val="Normal (Web)"/>
    <w:basedOn w:val="640"/>
    <w:uiPriority w:val="99"/>
    <w:qFormat/>
    <w:pPr>
      <w:pBdr/>
      <w:spacing w:afterAutospacing="1" w:beforeAutospacing="1"/>
      <w:ind/>
      <w:jc w:val="left"/>
    </w:pPr>
    <w:rPr>
      <w:rFonts w:cs="Times New Roman"/>
      <w:sz w:val="24"/>
    </w:rPr>
  </w:style>
  <w:style w:type="table" w:styleId="649">
    <w:name w:val="Table Grid"/>
    <w:basedOn w:val="642"/>
    <w:uiPriority w:val="39"/>
    <w:qFormat/>
    <w:pPr>
      <w:pBdr/>
      <w:spacing/>
      <w:ind/>
    </w:pPr>
    <w:rPr>
      <w:rFonts w:asciiTheme="minorHAnsi" w:hAnsiTheme="minorHAnsi" w:eastAsiaTheme="minorEastAsia" w:cstheme="minorBidi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50">
    <w:name w:val="Strong"/>
    <w:basedOn w:val="641"/>
    <w:uiPriority w:val="22"/>
    <w:qFormat/>
    <w:pPr>
      <w:pBdr/>
      <w:spacing/>
      <w:ind/>
    </w:pPr>
    <w:rPr>
      <w:b/>
      <w:bCs/>
    </w:rPr>
  </w:style>
  <w:style w:type="paragraph" w:styleId="651" w:customStyle="1">
    <w:name w:val="列出段落1"/>
    <w:basedOn w:val="640"/>
    <w:uiPriority w:val="34"/>
    <w:qFormat/>
    <w:pPr>
      <w:pBdr/>
      <w:spacing/>
      <w:ind w:firstLine="420"/>
    </w:pPr>
  </w:style>
  <w:style w:type="character" w:styleId="652" w:customStyle="1">
    <w:name w:val="日期 Char"/>
    <w:basedOn w:val="641"/>
    <w:link w:val="644"/>
    <w:uiPriority w:val="0"/>
    <w:qFormat/>
    <w:pPr>
      <w:pBdr/>
      <w:spacing/>
      <w:ind/>
    </w:pPr>
    <w:rPr>
      <w:rFonts w:asciiTheme="minorHAnsi" w:hAnsiTheme="minorHAnsi" w:eastAsiaTheme="minorEastAsia" w:cstheme="minorBidi"/>
      <w:sz w:val="21"/>
      <w:szCs w:val="24"/>
    </w:rPr>
  </w:style>
  <w:style w:type="character" w:styleId="653" w:customStyle="1">
    <w:name w:val="批注框文本 Char"/>
    <w:basedOn w:val="641"/>
    <w:link w:val="645"/>
    <w:uiPriority w:val="0"/>
    <w:qFormat/>
    <w:pPr>
      <w:pBdr/>
      <w:spacing/>
      <w:ind/>
    </w:pPr>
    <w:rPr>
      <w:rFonts w:asciiTheme="minorHAnsi" w:hAnsiTheme="minorHAnsi" w:eastAsiaTheme="minorEastAsia" w:cstheme="minorBidi"/>
      <w:sz w:val="18"/>
      <w:szCs w:val="18"/>
    </w:rPr>
  </w:style>
  <w:style w:type="paragraph" w:styleId="654" w:customStyle="1">
    <w:name w:val="列出段落2"/>
    <w:basedOn w:val="640"/>
    <w:uiPriority w:val="99"/>
    <w:unhideWhenUsed/>
    <w:qFormat/>
    <w:pPr>
      <w:pBdr/>
      <w:spacing/>
      <w:ind w:firstLine="420"/>
    </w:pPr>
  </w:style>
  <w:style w:type="paragraph" w:styleId="655">
    <w:name w:val="List Paragraph"/>
    <w:basedOn w:val="640"/>
    <w:uiPriority w:val="34"/>
    <w:qFormat/>
    <w:pPr>
      <w:pBdr/>
      <w:spacing/>
      <w:ind w:firstLine="420"/>
    </w:pPr>
    <w:rPr>
      <w:szCs w:val="22"/>
    </w:rPr>
  </w:style>
  <w:style w:type="character" w:styleId="656" w:customStyle="1">
    <w:name w:val="页脚 Char"/>
    <w:basedOn w:val="641"/>
    <w:link w:val="646"/>
    <w:uiPriority w:val="99"/>
    <w:qFormat/>
    <w:pPr>
      <w:pBdr/>
      <w:spacing/>
      <w:ind/>
    </w:pPr>
    <w:rPr>
      <w:rFonts w:asciiTheme="minorHAnsi" w:hAnsiTheme="minorHAnsi" w:eastAsiaTheme="minorEastAsia" w:cstheme="minorBidi"/>
      <w:sz w:val="18"/>
      <w:szCs w:val="24"/>
    </w:rPr>
  </w:style>
  <w:style w:type="paragraph" w:styleId="657">
    <w:name w:val="No Spacing"/>
    <w:uiPriority w:val="1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table" w:styleId="658" w:customStyle="1">
    <w:name w:val="Table Grid"/>
    <w:uiPriority w:val="0"/>
    <w:qFormat/>
    <w:pPr>
      <w:pBdr/>
      <w:spacing/>
      <w:ind/>
    </w:pPr>
    <w:rPr>
      <w:rFonts w:asciiTheme="minorHAnsi" w:hAnsiTheme="minorHAnsi" w:eastAsiaTheme="minorEastAsia" w:cstheme="minorBidi"/>
      <w:sz w:val="21"/>
      <w:szCs w:val="22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211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微软中国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匿名</cp:lastModifiedBy>
  <cp:revision>209</cp:revision>
  <dcterms:created xsi:type="dcterms:W3CDTF">2014-10-29T12:08:00Z</dcterms:created>
  <dcterms:modified xsi:type="dcterms:W3CDTF">2025-02-13T06:52:24Z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3115F0BC9C12433AB345D3EF05D5A99F</vt:lpwstr>
  </property>
</Properties>
</file>