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77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Style w:val="7"/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shd w:val="clear" w:color="auto" w:fill="FFFFFF"/>
        </w:rPr>
        <w:t>附件1：</w:t>
      </w:r>
    </w:p>
    <w:p w14:paraId="65281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学院简介</w:t>
      </w:r>
    </w:p>
    <w:p w14:paraId="4AB21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center"/>
        <w:textAlignment w:val="baseline"/>
        <w:rPr>
          <w:rFonts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F11169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四川电子机械职业技术学院</w:t>
      </w:r>
      <w:r>
        <w:rPr>
          <w:rFonts w:ascii="Times New Roman" w:hAnsi="Times New Roman" w:eastAsia="方正仿宋_GBK"/>
          <w:sz w:val="32"/>
          <w:szCs w:val="32"/>
        </w:rPr>
        <w:t>肇始于1992年，迄今有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32</w:t>
      </w:r>
      <w:r>
        <w:rPr>
          <w:rFonts w:ascii="Times New Roman" w:hAnsi="Times New Roman" w:eastAsia="方正仿宋_GBK"/>
          <w:sz w:val="32"/>
          <w:szCs w:val="32"/>
        </w:rPr>
        <w:t>年的职业教育办学历程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2013年经四川省人民政府批准，教育部备案，四川省教育厅主管，以工学和管理学科为主的全日制普通高等职业院校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05D02A43">
      <w:pPr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是全国自律与诚信办学单位、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四川省“平安校园”先进单位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、四川省先进定点扶贫省直单位、绵阳市先进基层党组织、四川省高技能人才培训基地、绵阳市高技能人才培训基地、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绵阳市公共实训分基地、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绵阳市就业工作先进集体、绵阳市经开区先进制造业产教融合先进集体、政校企合作优秀院校、绵阳市经开区产教联盟理事长单位等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CCE6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Fonts w:hint="default" w:eastAsia="方正仿宋_GBK"/>
          <w:color w:val="FF0000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学院规划占地面积814亩，校舍面积约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/>
          <w:sz w:val="32"/>
          <w:szCs w:val="32"/>
        </w:rPr>
        <w:t>万平方米，馆藏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纸质</w:t>
      </w:r>
      <w:r>
        <w:rPr>
          <w:rFonts w:ascii="Times New Roman" w:hAnsi="Times New Roman" w:eastAsia="方正仿宋_GBK"/>
          <w:sz w:val="32"/>
          <w:szCs w:val="32"/>
        </w:rPr>
        <w:t>图书95.6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sz w:val="32"/>
          <w:szCs w:val="32"/>
        </w:rPr>
        <w:t>万册，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电子图书150万册，</w:t>
      </w:r>
      <w:r>
        <w:rPr>
          <w:rFonts w:ascii="Times New Roman" w:hAnsi="Times New Roman" w:eastAsia="方正仿宋_GBK"/>
          <w:sz w:val="32"/>
          <w:szCs w:val="32"/>
        </w:rPr>
        <w:t>教学仪器设备值6000余万元，</w:t>
      </w:r>
      <w:r>
        <w:rPr>
          <w:rFonts w:hint="eastAsia" w:ascii="Times New Roman" w:hAnsi="Times New Roman" w:eastAsia="方正仿宋_GBK"/>
          <w:sz w:val="32"/>
          <w:szCs w:val="32"/>
        </w:rPr>
        <w:t>建有满足各专业教学需要和学生实习就业的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92</w:t>
      </w:r>
      <w:r>
        <w:rPr>
          <w:rFonts w:hint="eastAsia" w:ascii="Times New Roman" w:hAnsi="Times New Roman" w:eastAsia="方正仿宋_GBK"/>
          <w:sz w:val="32"/>
          <w:szCs w:val="32"/>
        </w:rPr>
        <w:t>个校内实训室，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334</w:t>
      </w:r>
      <w:r>
        <w:rPr>
          <w:rFonts w:hint="eastAsia" w:ascii="Times New Roman" w:hAnsi="Times New Roman" w:eastAsia="方正仿宋_GBK"/>
          <w:sz w:val="32"/>
          <w:szCs w:val="32"/>
        </w:rPr>
        <w:t>个校外实训基地，984家合作单位</w:t>
      </w:r>
      <w:r>
        <w:rPr>
          <w:rFonts w:ascii="Times New Roman" w:hAnsi="Times New Roman" w:eastAsia="方正仿宋_GBK"/>
          <w:sz w:val="32"/>
          <w:szCs w:val="32"/>
        </w:rPr>
        <w:t>。现有全日制普通专科在校生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1.3万余</w:t>
      </w:r>
      <w:r>
        <w:rPr>
          <w:rFonts w:hint="eastAsia" w:ascii="Times New Roman" w:hAnsi="Times New Roman" w:eastAsia="方正仿宋_GBK"/>
          <w:sz w:val="32"/>
          <w:szCs w:val="32"/>
        </w:rPr>
        <w:t>人</w:t>
      </w:r>
      <w:r>
        <w:rPr>
          <w:rFonts w:ascii="Times New Roman" w:hAnsi="Times New Roman" w:eastAsia="方正仿宋_GBK"/>
          <w:sz w:val="32"/>
          <w:szCs w:val="32"/>
        </w:rPr>
        <w:t>，设立电子信息工程学院、机电工程学院、经济管理学院、建筑与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人文</w:t>
      </w:r>
      <w:r>
        <w:rPr>
          <w:rFonts w:ascii="Times New Roman" w:hAnsi="Times New Roman" w:eastAsia="方正仿宋_GBK"/>
          <w:sz w:val="32"/>
          <w:szCs w:val="32"/>
        </w:rPr>
        <w:t>学院、马克思主义学院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5个二级学院，以及</w:t>
      </w:r>
      <w:r>
        <w:rPr>
          <w:rFonts w:ascii="Times New Roman" w:hAnsi="Times New Roman" w:eastAsia="方正仿宋_GBK"/>
          <w:sz w:val="32"/>
          <w:szCs w:val="32"/>
        </w:rPr>
        <w:t>人工智能学院、信创产业学院、数字经济产业学院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3个产业学院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开设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34</w:t>
      </w:r>
      <w:r>
        <w:rPr>
          <w:rFonts w:ascii="Times New Roman" w:hAnsi="Times New Roman" w:eastAsia="方正仿宋_GBK"/>
          <w:sz w:val="32"/>
          <w:szCs w:val="32"/>
        </w:rPr>
        <w:t>个专业（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40</w:t>
      </w:r>
      <w:r>
        <w:rPr>
          <w:rFonts w:ascii="Times New Roman" w:hAnsi="Times New Roman" w:eastAsia="方正仿宋_GBK"/>
          <w:sz w:val="32"/>
          <w:szCs w:val="32"/>
        </w:rPr>
        <w:t>个专业方向），其中电子信息工程技术、数控技术专业为省级骨干（特色）专业。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设有高教研究室，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绵阳科技城智能制造产业技术创新研究院。</w:t>
      </w:r>
    </w:p>
    <w:p w14:paraId="35D43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rPr>
          <w:rFonts w:hint="default"/>
          <w:lang w:val="en-US"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学院形成了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以“教育报国”为</w:t>
      </w:r>
      <w:r>
        <w:rPr>
          <w:rFonts w:ascii="Times New Roman" w:hAnsi="Times New Roman" w:eastAsia="方正仿宋_GBK"/>
          <w:color w:val="000000"/>
          <w:sz w:val="32"/>
          <w:szCs w:val="32"/>
        </w:rPr>
        <w:t>核心的学院精神、文化和传统。始终坚持党建引领，以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立德树人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为根本任务，走产教融合的发展道路，以突出学生技能培养为重点，全面加强专业建设，形成了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1235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人才培养模式，不断提升人才培养质量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近几年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超过90％毕业生服务于成渝经济圈经济建设和产业发展，超过80％的毕业生服务于四川经济建设和产业发展，其中30%以上毕业生服务于绵阳科技城经济建设和产业发展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20％以上毕业生在500强企业就业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2020年以来连续三年被评为“绵阳市就业工作先进集体”，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已累计为社会培养高素质技术技能人才10万余名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。</w:t>
      </w:r>
    </w:p>
    <w:p w14:paraId="0C5AE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baseline"/>
        <w:rPr>
          <w:rStyle w:val="7"/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学院当前及未来的发展，将紧紧围绕绵阳科技城建设与发展，对接四川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5+1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”、绵阳“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686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重点产业发展，实施人才兴校战略，以立德树人为根本任务，构建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“三全”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育人新格局，加强专业建设，加强校企合作，走产教融合发展道路，不断提升综合办学实力、人才培养水平、科技开发能力和社会服务能力，向建设一流校园，实施一流管理，培养一流人才的办学目标奋进，创办特色鲜明的四川一流高职院校。</w:t>
      </w:r>
      <w:bookmarkStart w:id="0" w:name="_GoBack"/>
      <w:bookmarkEnd w:id="0"/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ZDYzZjhlOGM5ODQ4N2QyM2Y1Yzk4MDg3NGRmYWMifQ=="/>
  </w:docVars>
  <w:rsids>
    <w:rsidRoot w:val="47E30E0D"/>
    <w:rsid w:val="00681A25"/>
    <w:rsid w:val="0AD32925"/>
    <w:rsid w:val="12AB3D0B"/>
    <w:rsid w:val="138D4DA6"/>
    <w:rsid w:val="34017942"/>
    <w:rsid w:val="47E30E0D"/>
    <w:rsid w:val="4D1E0DA0"/>
    <w:rsid w:val="5AA847D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autoRedefine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0"/>
      <w:sz w:val="27"/>
      <w:szCs w:val="27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1598</Words>
  <Characters>1670</Characters>
  <Lines>0</Lines>
  <Paragraphs>0</Paragraphs>
  <TotalTime>0</TotalTime>
  <ScaleCrop>false</ScaleCrop>
  <LinksUpToDate>false</LinksUpToDate>
  <CharactersWithSpaces>1671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2018-11-07T01:27:00Z</dcterms:created>
  <dc:creator>枫树下の回忆</dc:creator>
  <cp:lastModifiedBy>心如止水</cp:lastModifiedBy>
  <dcterms:modified xsi:type="dcterms:W3CDTF">2024-10-12T07:17:27Z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569E762E6C1345FDA0B5DA850EB0D1E1</vt:lpwstr>
  </property>
</Properties>
</file>